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BD03F" w14:textId="67684C25" w:rsidR="000978F7" w:rsidRDefault="000978F7" w:rsidP="000978F7">
      <w:pPr>
        <w:pStyle w:val="Titre1"/>
        <w:rPr>
          <w:rFonts w:ascii="Calibri" w:hAnsi="Calibri" w:cs="Calibri"/>
          <w:b/>
          <w:bCs/>
        </w:rPr>
      </w:pPr>
      <w:r>
        <w:rPr>
          <w:rFonts w:ascii="Calibri" w:hAnsi="Calibri" w:cs="Calibri"/>
          <w:b/>
          <w:bCs/>
        </w:rPr>
        <w:t xml:space="preserve">Sur le site de la carrière des </w:t>
      </w:r>
      <w:proofErr w:type="spellStart"/>
      <w:r>
        <w:rPr>
          <w:rFonts w:ascii="Calibri" w:hAnsi="Calibri" w:cs="Calibri"/>
          <w:b/>
          <w:bCs/>
        </w:rPr>
        <w:t>Gottes</w:t>
      </w:r>
      <w:proofErr w:type="spellEnd"/>
      <w:r>
        <w:rPr>
          <w:rFonts w:ascii="Calibri" w:hAnsi="Calibri" w:cs="Calibri"/>
          <w:b/>
          <w:bCs/>
        </w:rPr>
        <w:t>, des efforts continus</w:t>
      </w:r>
      <w:r w:rsidRPr="001D333F">
        <w:rPr>
          <w:rFonts w:ascii="Calibri" w:hAnsi="Calibri" w:cs="Calibri"/>
          <w:b/>
          <w:bCs/>
        </w:rPr>
        <w:t xml:space="preserve"> </w:t>
      </w:r>
      <w:r>
        <w:rPr>
          <w:rFonts w:ascii="Calibri" w:hAnsi="Calibri" w:cs="Calibri"/>
          <w:b/>
          <w:bCs/>
        </w:rPr>
        <w:t xml:space="preserve">pour réduire </w:t>
      </w:r>
      <w:r w:rsidRPr="001D333F">
        <w:rPr>
          <w:rFonts w:ascii="Calibri" w:hAnsi="Calibri" w:cs="Calibri"/>
          <w:b/>
          <w:bCs/>
        </w:rPr>
        <w:t>les incidences de l’activité de la carrière sur la faune et la flore</w:t>
      </w:r>
    </w:p>
    <w:p w14:paraId="4B60C898" w14:textId="77777777" w:rsidR="000978F7" w:rsidRDefault="000978F7" w:rsidP="000978F7">
      <w:pPr>
        <w:jc w:val="both"/>
      </w:pPr>
    </w:p>
    <w:p w14:paraId="5AFC428A" w14:textId="77777777" w:rsidR="000978F7" w:rsidRPr="00B7425E" w:rsidRDefault="000978F7" w:rsidP="000978F7">
      <w:pPr>
        <w:pStyle w:val="Titre2"/>
        <w:rPr>
          <w:rFonts w:ascii="Calibri" w:hAnsi="Calibri" w:cs="Calibri"/>
          <w:b/>
          <w:bCs/>
        </w:rPr>
      </w:pPr>
      <w:r>
        <w:rPr>
          <w:rFonts w:ascii="Calibri" w:hAnsi="Calibri" w:cs="Calibri"/>
          <w:b/>
          <w:bCs/>
        </w:rPr>
        <w:t>Les résultats des études faune/flore</w:t>
      </w:r>
    </w:p>
    <w:p w14:paraId="1A918160" w14:textId="77777777" w:rsidR="000978F7" w:rsidRDefault="000978F7" w:rsidP="000978F7">
      <w:pPr>
        <w:pStyle w:val="Textebrut"/>
        <w:jc w:val="both"/>
        <w:rPr>
          <w:sz w:val="24"/>
          <w:szCs w:val="24"/>
        </w:rPr>
      </w:pPr>
      <w:r>
        <w:rPr>
          <w:sz w:val="24"/>
          <w:szCs w:val="24"/>
        </w:rPr>
        <w:t xml:space="preserve">Dans le cadre du dossier de demande d’autorisation environnementale (DDAE), le site des </w:t>
      </w:r>
      <w:proofErr w:type="spellStart"/>
      <w:r>
        <w:rPr>
          <w:sz w:val="24"/>
          <w:szCs w:val="24"/>
        </w:rPr>
        <w:t>Gottes</w:t>
      </w:r>
      <w:proofErr w:type="spellEnd"/>
      <w:r>
        <w:rPr>
          <w:sz w:val="24"/>
          <w:szCs w:val="24"/>
        </w:rPr>
        <w:t xml:space="preserve"> a fait l’objet de nombreux inventaires et </w:t>
      </w:r>
      <w:r w:rsidRPr="003B4FFA">
        <w:rPr>
          <w:sz w:val="24"/>
          <w:szCs w:val="24"/>
        </w:rPr>
        <w:t xml:space="preserve">études faune </w:t>
      </w:r>
      <w:r>
        <w:rPr>
          <w:sz w:val="24"/>
          <w:szCs w:val="24"/>
        </w:rPr>
        <w:t xml:space="preserve">/ </w:t>
      </w:r>
      <w:r w:rsidRPr="003B4FFA">
        <w:rPr>
          <w:sz w:val="24"/>
          <w:szCs w:val="24"/>
        </w:rPr>
        <w:t>flor</w:t>
      </w:r>
      <w:r>
        <w:rPr>
          <w:sz w:val="24"/>
          <w:szCs w:val="24"/>
        </w:rPr>
        <w:t>e :</w:t>
      </w:r>
    </w:p>
    <w:p w14:paraId="5B1D002A" w14:textId="77777777" w:rsidR="000978F7" w:rsidRDefault="000978F7" w:rsidP="000978F7">
      <w:pPr>
        <w:pStyle w:val="Textebrut"/>
        <w:numPr>
          <w:ilvl w:val="0"/>
          <w:numId w:val="6"/>
        </w:numPr>
        <w:jc w:val="both"/>
        <w:rPr>
          <w:sz w:val="24"/>
          <w:szCs w:val="24"/>
        </w:rPr>
      </w:pPr>
      <w:r>
        <w:rPr>
          <w:sz w:val="24"/>
          <w:szCs w:val="24"/>
        </w:rPr>
        <w:t xml:space="preserve">En 2014, par </w:t>
      </w:r>
      <w:r w:rsidRPr="003B4FFA">
        <w:rPr>
          <w:sz w:val="24"/>
          <w:szCs w:val="24"/>
        </w:rPr>
        <w:t>Nature Consultant</w:t>
      </w:r>
      <w:r>
        <w:rPr>
          <w:sz w:val="24"/>
          <w:szCs w:val="24"/>
        </w:rPr>
        <w:t> ;</w:t>
      </w:r>
    </w:p>
    <w:p w14:paraId="029C1F42" w14:textId="77777777" w:rsidR="000978F7" w:rsidRDefault="000978F7" w:rsidP="000978F7">
      <w:pPr>
        <w:pStyle w:val="Textebrut"/>
        <w:numPr>
          <w:ilvl w:val="0"/>
          <w:numId w:val="6"/>
        </w:numPr>
        <w:jc w:val="both"/>
        <w:rPr>
          <w:sz w:val="24"/>
          <w:szCs w:val="24"/>
        </w:rPr>
      </w:pPr>
      <w:r>
        <w:rPr>
          <w:sz w:val="24"/>
          <w:szCs w:val="24"/>
        </w:rPr>
        <w:t xml:space="preserve">En 2015 et 2016 </w:t>
      </w:r>
      <w:r w:rsidRPr="003B4FFA">
        <w:rPr>
          <w:sz w:val="24"/>
          <w:szCs w:val="24"/>
        </w:rPr>
        <w:t xml:space="preserve">par </w:t>
      </w:r>
      <w:r>
        <w:rPr>
          <w:sz w:val="24"/>
          <w:szCs w:val="24"/>
        </w:rPr>
        <w:t>la Ligue de Protection des Oiseaux (</w:t>
      </w:r>
      <w:r w:rsidRPr="003B4FFA">
        <w:rPr>
          <w:sz w:val="24"/>
          <w:szCs w:val="24"/>
        </w:rPr>
        <w:t>LPO</w:t>
      </w:r>
      <w:r>
        <w:rPr>
          <w:sz w:val="24"/>
          <w:szCs w:val="24"/>
        </w:rPr>
        <w:t>)</w:t>
      </w:r>
      <w:r w:rsidRPr="003B4FFA">
        <w:rPr>
          <w:sz w:val="24"/>
          <w:szCs w:val="24"/>
        </w:rPr>
        <w:t xml:space="preserve"> </w:t>
      </w:r>
      <w:r>
        <w:rPr>
          <w:sz w:val="24"/>
          <w:szCs w:val="24"/>
        </w:rPr>
        <w:t xml:space="preserve">de la </w:t>
      </w:r>
      <w:r w:rsidRPr="003B4FFA">
        <w:rPr>
          <w:sz w:val="24"/>
          <w:szCs w:val="24"/>
        </w:rPr>
        <w:t>Loire</w:t>
      </w:r>
      <w:r>
        <w:rPr>
          <w:sz w:val="24"/>
          <w:szCs w:val="24"/>
        </w:rPr>
        <w:t>.</w:t>
      </w:r>
    </w:p>
    <w:p w14:paraId="3A67CBD8" w14:textId="77777777" w:rsidR="000978F7" w:rsidRDefault="000978F7" w:rsidP="000978F7">
      <w:pPr>
        <w:pStyle w:val="Textebrut"/>
        <w:jc w:val="both"/>
        <w:rPr>
          <w:sz w:val="24"/>
          <w:szCs w:val="24"/>
        </w:rPr>
      </w:pPr>
    </w:p>
    <w:p w14:paraId="3B03DF09" w14:textId="77777777" w:rsidR="000978F7" w:rsidRPr="00F722C2" w:rsidRDefault="000978F7" w:rsidP="000978F7">
      <w:pPr>
        <w:pStyle w:val="Textebrut"/>
        <w:jc w:val="both"/>
        <w:rPr>
          <w:sz w:val="24"/>
          <w:szCs w:val="24"/>
        </w:rPr>
      </w:pPr>
      <w:r w:rsidRPr="00F722C2">
        <w:rPr>
          <w:sz w:val="24"/>
          <w:szCs w:val="24"/>
        </w:rPr>
        <w:t>En septembre 2021, l’entreprise a sollicité Ecosphère pour une expertise complémentaire sur 9 espèces.</w:t>
      </w:r>
    </w:p>
    <w:p w14:paraId="1E902447" w14:textId="77777777" w:rsidR="000978F7" w:rsidRPr="004A2439" w:rsidRDefault="000978F7" w:rsidP="000978F7">
      <w:pPr>
        <w:jc w:val="both"/>
        <w:rPr>
          <w:rFonts w:ascii="Calibri" w:hAnsi="Calibri" w:cs="Calibri"/>
          <w:sz w:val="23"/>
          <w:szCs w:val="23"/>
        </w:rPr>
      </w:pPr>
      <w:r>
        <w:rPr>
          <w:rFonts w:ascii="Calibri" w:hAnsi="Calibri" w:cs="Calibri"/>
          <w:sz w:val="23"/>
          <w:szCs w:val="23"/>
        </w:rPr>
        <w:t>La LPO, Nature Consultant et Ecosphère ont effectué une vingtaine de passages sur site.</w:t>
      </w:r>
    </w:p>
    <w:p w14:paraId="1ACC80A0" w14:textId="77777777" w:rsidR="000978F7" w:rsidRDefault="000978F7" w:rsidP="000978F7">
      <w:pPr>
        <w:jc w:val="both"/>
      </w:pPr>
    </w:p>
    <w:p w14:paraId="326F42E2" w14:textId="77777777" w:rsidR="000978F7" w:rsidRDefault="000978F7" w:rsidP="000978F7">
      <w:pPr>
        <w:pStyle w:val="Textebrut"/>
        <w:jc w:val="both"/>
        <w:rPr>
          <w:sz w:val="24"/>
          <w:szCs w:val="24"/>
        </w:rPr>
      </w:pPr>
      <w:r>
        <w:rPr>
          <w:sz w:val="24"/>
          <w:szCs w:val="24"/>
        </w:rPr>
        <w:t>Ces études menées entre 2014 et 2021 ont permis d’établir la liste des espèces protégées présentes sur et en périphérie du site, liste à laquelle ont été ajoutées des espèces dont aucun individu n’a été observé lors des inventaires mais qui, le milieu leur étant favorable, pourraient être susceptibles de l’occuper. Au total, 43 espèces protégées ont donc été listées.</w:t>
      </w:r>
    </w:p>
    <w:p w14:paraId="716599E3" w14:textId="77777777" w:rsidR="000978F7" w:rsidRDefault="000978F7" w:rsidP="000978F7">
      <w:pPr>
        <w:pStyle w:val="Textebrut"/>
        <w:jc w:val="both"/>
        <w:rPr>
          <w:sz w:val="24"/>
          <w:szCs w:val="24"/>
        </w:rPr>
      </w:pPr>
    </w:p>
    <w:p w14:paraId="61CD85BC" w14:textId="77777777" w:rsidR="000978F7" w:rsidRPr="003B4FFA" w:rsidRDefault="000978F7" w:rsidP="000978F7">
      <w:pPr>
        <w:pStyle w:val="Textebrut"/>
        <w:jc w:val="both"/>
        <w:rPr>
          <w:sz w:val="24"/>
          <w:szCs w:val="24"/>
        </w:rPr>
      </w:pPr>
      <w:r>
        <w:rPr>
          <w:sz w:val="24"/>
          <w:szCs w:val="24"/>
        </w:rPr>
        <w:t>Sur c</w:t>
      </w:r>
      <w:r w:rsidRPr="003B4FFA">
        <w:rPr>
          <w:sz w:val="24"/>
          <w:szCs w:val="24"/>
        </w:rPr>
        <w:t>es 43 espèces listées, 38 sont des espèces communes</w:t>
      </w:r>
      <w:r>
        <w:rPr>
          <w:sz w:val="24"/>
          <w:szCs w:val="24"/>
        </w:rPr>
        <w:t xml:space="preserve"> non menacées</w:t>
      </w:r>
      <w:r w:rsidRPr="003B4FFA">
        <w:rPr>
          <w:sz w:val="24"/>
          <w:szCs w:val="24"/>
        </w:rPr>
        <w:t xml:space="preserve"> </w:t>
      </w:r>
      <w:r>
        <w:rPr>
          <w:sz w:val="24"/>
          <w:szCs w:val="24"/>
        </w:rPr>
        <w:t>et</w:t>
      </w:r>
      <w:r w:rsidRPr="003B4FFA">
        <w:rPr>
          <w:sz w:val="24"/>
          <w:szCs w:val="24"/>
        </w:rPr>
        <w:t xml:space="preserve"> 5 sont </w:t>
      </w:r>
      <w:proofErr w:type="gramStart"/>
      <w:r w:rsidRPr="003B4FFA">
        <w:rPr>
          <w:sz w:val="24"/>
          <w:szCs w:val="24"/>
        </w:rPr>
        <w:t>considérées</w:t>
      </w:r>
      <w:proofErr w:type="gramEnd"/>
      <w:r w:rsidRPr="003B4FFA">
        <w:rPr>
          <w:sz w:val="24"/>
          <w:szCs w:val="24"/>
        </w:rPr>
        <w:t xml:space="preserve"> comme menacées</w:t>
      </w:r>
      <w:r>
        <w:rPr>
          <w:rStyle w:val="Appelnotedebasdep"/>
          <w:sz w:val="24"/>
          <w:szCs w:val="24"/>
        </w:rPr>
        <w:footnoteReference w:id="2"/>
      </w:r>
      <w:r w:rsidRPr="003B4FFA">
        <w:rPr>
          <w:sz w:val="24"/>
          <w:szCs w:val="24"/>
        </w:rPr>
        <w:t xml:space="preserve"> sur le plan régional</w:t>
      </w:r>
      <w:r>
        <w:rPr>
          <w:sz w:val="24"/>
          <w:szCs w:val="24"/>
        </w:rPr>
        <w:t>. Il s’agit de :</w:t>
      </w:r>
    </w:p>
    <w:p w14:paraId="24906945" w14:textId="77777777" w:rsidR="000978F7" w:rsidRPr="003B4FFA" w:rsidRDefault="000978F7" w:rsidP="000978F7">
      <w:pPr>
        <w:pStyle w:val="Textebrut"/>
        <w:numPr>
          <w:ilvl w:val="0"/>
          <w:numId w:val="4"/>
        </w:numPr>
        <w:jc w:val="both"/>
        <w:rPr>
          <w:sz w:val="24"/>
          <w:szCs w:val="24"/>
        </w:rPr>
      </w:pPr>
      <w:r>
        <w:rPr>
          <w:sz w:val="24"/>
          <w:szCs w:val="24"/>
        </w:rPr>
        <w:t>La P</w:t>
      </w:r>
      <w:r w:rsidRPr="003B4FFA">
        <w:rPr>
          <w:sz w:val="24"/>
          <w:szCs w:val="24"/>
        </w:rPr>
        <w:t>alombe</w:t>
      </w:r>
      <w:r>
        <w:rPr>
          <w:sz w:val="24"/>
          <w:szCs w:val="24"/>
        </w:rPr>
        <w:t>,</w:t>
      </w:r>
      <w:r w:rsidRPr="003B4FFA">
        <w:rPr>
          <w:sz w:val="24"/>
          <w:szCs w:val="24"/>
        </w:rPr>
        <w:t xml:space="preserve"> contactée une fois en 2014</w:t>
      </w:r>
      <w:r>
        <w:rPr>
          <w:sz w:val="24"/>
          <w:szCs w:val="24"/>
        </w:rPr>
        <w:t>,</w:t>
      </w:r>
      <w:r w:rsidRPr="003B4FFA">
        <w:rPr>
          <w:sz w:val="24"/>
          <w:szCs w:val="24"/>
        </w:rPr>
        <w:t xml:space="preserve"> à l’extérieur de l’emprise du site</w:t>
      </w:r>
      <w:r>
        <w:rPr>
          <w:sz w:val="24"/>
          <w:szCs w:val="24"/>
        </w:rPr>
        <w:t>, pour laquelle le rapport d’</w:t>
      </w:r>
      <w:r w:rsidRPr="003B4FFA">
        <w:rPr>
          <w:sz w:val="24"/>
          <w:szCs w:val="24"/>
        </w:rPr>
        <w:t xml:space="preserve">Ecosphère </w:t>
      </w:r>
      <w:r>
        <w:rPr>
          <w:sz w:val="24"/>
          <w:szCs w:val="24"/>
        </w:rPr>
        <w:t>considère « </w:t>
      </w:r>
      <w:r w:rsidRPr="003B4FFA">
        <w:rPr>
          <w:sz w:val="24"/>
          <w:szCs w:val="24"/>
        </w:rPr>
        <w:t>que le nombre d’observations aurait été plus important si l’espèce nichait dans ou à proximité immédiate de la zone de projet »</w:t>
      </w:r>
      <w:r>
        <w:rPr>
          <w:sz w:val="24"/>
          <w:szCs w:val="24"/>
        </w:rPr>
        <w:t> ;</w:t>
      </w:r>
    </w:p>
    <w:p w14:paraId="53234C17" w14:textId="77777777" w:rsidR="000978F7" w:rsidRPr="003B4FFA" w:rsidRDefault="000978F7" w:rsidP="000978F7">
      <w:pPr>
        <w:pStyle w:val="Textebrut"/>
        <w:numPr>
          <w:ilvl w:val="0"/>
          <w:numId w:val="4"/>
        </w:numPr>
        <w:jc w:val="both"/>
        <w:rPr>
          <w:sz w:val="24"/>
          <w:szCs w:val="24"/>
        </w:rPr>
      </w:pPr>
      <w:r>
        <w:rPr>
          <w:sz w:val="24"/>
          <w:szCs w:val="24"/>
        </w:rPr>
        <w:t xml:space="preserve">Le </w:t>
      </w:r>
      <w:r w:rsidRPr="003B4FFA">
        <w:rPr>
          <w:sz w:val="24"/>
          <w:szCs w:val="24"/>
        </w:rPr>
        <w:t>Bruant jaune</w:t>
      </w:r>
      <w:r>
        <w:rPr>
          <w:sz w:val="24"/>
          <w:szCs w:val="24"/>
        </w:rPr>
        <w:t>,</w:t>
      </w:r>
      <w:r w:rsidRPr="003B4FFA">
        <w:rPr>
          <w:sz w:val="24"/>
          <w:szCs w:val="24"/>
        </w:rPr>
        <w:t xml:space="preserve"> oiseau jamais contacté</w:t>
      </w:r>
      <w:r>
        <w:rPr>
          <w:sz w:val="24"/>
          <w:szCs w:val="24"/>
        </w:rPr>
        <w:t xml:space="preserve">, pour lequel </w:t>
      </w:r>
      <w:r w:rsidRPr="003B4FFA">
        <w:rPr>
          <w:sz w:val="24"/>
          <w:szCs w:val="24"/>
        </w:rPr>
        <w:t>Ecosphère</w:t>
      </w:r>
      <w:r>
        <w:rPr>
          <w:sz w:val="24"/>
          <w:szCs w:val="24"/>
        </w:rPr>
        <w:t xml:space="preserve"> </w:t>
      </w:r>
      <w:r w:rsidRPr="003B4FFA">
        <w:rPr>
          <w:sz w:val="24"/>
          <w:szCs w:val="24"/>
        </w:rPr>
        <w:t>conclut</w:t>
      </w:r>
      <w:r>
        <w:rPr>
          <w:sz w:val="24"/>
          <w:szCs w:val="24"/>
        </w:rPr>
        <w:t xml:space="preserve"> que « </w:t>
      </w:r>
      <w:r w:rsidRPr="003B4FFA">
        <w:rPr>
          <w:sz w:val="24"/>
          <w:szCs w:val="24"/>
        </w:rPr>
        <w:t xml:space="preserve">cette espèce </w:t>
      </w:r>
      <w:r>
        <w:rPr>
          <w:sz w:val="24"/>
          <w:szCs w:val="24"/>
        </w:rPr>
        <w:t xml:space="preserve">peut être considérée </w:t>
      </w:r>
      <w:r w:rsidRPr="003B4FFA">
        <w:rPr>
          <w:sz w:val="24"/>
          <w:szCs w:val="24"/>
        </w:rPr>
        <w:t>comme absente »</w:t>
      </w:r>
      <w:r>
        <w:rPr>
          <w:sz w:val="24"/>
          <w:szCs w:val="24"/>
        </w:rPr>
        <w:t> ;</w:t>
      </w:r>
    </w:p>
    <w:p w14:paraId="0C2AE7E6" w14:textId="77777777" w:rsidR="000978F7" w:rsidRPr="003B4FFA" w:rsidRDefault="000978F7" w:rsidP="000978F7">
      <w:pPr>
        <w:pStyle w:val="Textebrut"/>
        <w:numPr>
          <w:ilvl w:val="0"/>
          <w:numId w:val="4"/>
        </w:numPr>
        <w:jc w:val="both"/>
        <w:rPr>
          <w:sz w:val="24"/>
          <w:szCs w:val="24"/>
        </w:rPr>
      </w:pPr>
      <w:r>
        <w:rPr>
          <w:sz w:val="24"/>
          <w:szCs w:val="24"/>
        </w:rPr>
        <w:t xml:space="preserve">Le </w:t>
      </w:r>
      <w:r w:rsidRPr="003B4FFA">
        <w:rPr>
          <w:sz w:val="24"/>
          <w:szCs w:val="24"/>
        </w:rPr>
        <w:t>Grand-Duc d’Europe</w:t>
      </w:r>
      <w:r>
        <w:rPr>
          <w:sz w:val="24"/>
          <w:szCs w:val="24"/>
        </w:rPr>
        <w:t xml:space="preserve">, rapace suivi par la LPO Loire depuis 2015, dont un couple </w:t>
      </w:r>
      <w:r w:rsidRPr="003B4FFA">
        <w:rPr>
          <w:sz w:val="24"/>
          <w:szCs w:val="24"/>
        </w:rPr>
        <w:t xml:space="preserve">est présent sur les </w:t>
      </w:r>
      <w:r>
        <w:rPr>
          <w:sz w:val="24"/>
          <w:szCs w:val="24"/>
        </w:rPr>
        <w:t>f</w:t>
      </w:r>
      <w:r w:rsidRPr="003B4FFA">
        <w:rPr>
          <w:sz w:val="24"/>
          <w:szCs w:val="24"/>
        </w:rPr>
        <w:t>ronts de taille</w:t>
      </w:r>
      <w:r>
        <w:rPr>
          <w:sz w:val="24"/>
          <w:szCs w:val="24"/>
        </w:rPr>
        <w:t xml:space="preserve"> de la carrière, habitat propice en l’absence duquel il ne se trouverait pas sur cette zone,</w:t>
      </w:r>
      <w:r w:rsidRPr="003B4FFA">
        <w:rPr>
          <w:sz w:val="24"/>
          <w:szCs w:val="24"/>
        </w:rPr>
        <w:t xml:space="preserve"> et se reproduit presque chaque année. </w:t>
      </w:r>
      <w:r>
        <w:rPr>
          <w:sz w:val="24"/>
          <w:szCs w:val="24"/>
        </w:rPr>
        <w:t>Une zone d’évitement a été définie de manière à le préserver ;</w:t>
      </w:r>
    </w:p>
    <w:p w14:paraId="650F185A" w14:textId="77777777" w:rsidR="000978F7" w:rsidRPr="003B4FFA" w:rsidRDefault="000978F7" w:rsidP="000978F7">
      <w:pPr>
        <w:pStyle w:val="Textebrut"/>
        <w:numPr>
          <w:ilvl w:val="0"/>
          <w:numId w:val="4"/>
        </w:numPr>
        <w:jc w:val="both"/>
        <w:rPr>
          <w:sz w:val="24"/>
          <w:szCs w:val="24"/>
        </w:rPr>
      </w:pPr>
      <w:r>
        <w:rPr>
          <w:sz w:val="24"/>
          <w:szCs w:val="24"/>
        </w:rPr>
        <w:t xml:space="preserve">La </w:t>
      </w:r>
      <w:proofErr w:type="spellStart"/>
      <w:r w:rsidRPr="003B4FFA">
        <w:rPr>
          <w:sz w:val="24"/>
          <w:szCs w:val="24"/>
        </w:rPr>
        <w:t>Babastrelle</w:t>
      </w:r>
      <w:proofErr w:type="spellEnd"/>
      <w:r w:rsidRPr="003B4FFA">
        <w:rPr>
          <w:sz w:val="24"/>
          <w:szCs w:val="24"/>
        </w:rPr>
        <w:t xml:space="preserve"> d’Europe</w:t>
      </w:r>
      <w:r>
        <w:rPr>
          <w:sz w:val="24"/>
          <w:szCs w:val="24"/>
        </w:rPr>
        <w:t xml:space="preserve">, </w:t>
      </w:r>
      <w:r w:rsidRPr="003B4FFA">
        <w:rPr>
          <w:sz w:val="24"/>
          <w:szCs w:val="24"/>
        </w:rPr>
        <w:t xml:space="preserve">chauve-souris présente </w:t>
      </w:r>
      <w:r>
        <w:rPr>
          <w:sz w:val="24"/>
          <w:szCs w:val="24"/>
        </w:rPr>
        <w:t>dans le périmètre</w:t>
      </w:r>
      <w:r w:rsidRPr="003B4FFA">
        <w:rPr>
          <w:sz w:val="24"/>
          <w:szCs w:val="24"/>
        </w:rPr>
        <w:t xml:space="preserve"> d</w:t>
      </w:r>
      <w:r>
        <w:rPr>
          <w:sz w:val="24"/>
          <w:szCs w:val="24"/>
        </w:rPr>
        <w:t>’</w:t>
      </w:r>
      <w:r w:rsidRPr="003B4FFA">
        <w:rPr>
          <w:sz w:val="24"/>
          <w:szCs w:val="24"/>
        </w:rPr>
        <w:t xml:space="preserve">extension de </w:t>
      </w:r>
      <w:r>
        <w:rPr>
          <w:sz w:val="24"/>
          <w:szCs w:val="24"/>
        </w:rPr>
        <w:t xml:space="preserve">la </w:t>
      </w:r>
      <w:r w:rsidRPr="003B4FFA">
        <w:rPr>
          <w:sz w:val="24"/>
          <w:szCs w:val="24"/>
        </w:rPr>
        <w:t>carrière</w:t>
      </w:r>
      <w:r>
        <w:rPr>
          <w:sz w:val="24"/>
          <w:szCs w:val="24"/>
        </w:rPr>
        <w:t xml:space="preserve"> et qui fait l’objet de nombreuses mesures pour lui fournir un habitat et préserver les individus ;</w:t>
      </w:r>
    </w:p>
    <w:p w14:paraId="0F261E93" w14:textId="77777777" w:rsidR="000978F7" w:rsidRDefault="000978F7" w:rsidP="000978F7">
      <w:pPr>
        <w:pStyle w:val="Textebrut"/>
        <w:numPr>
          <w:ilvl w:val="0"/>
          <w:numId w:val="4"/>
        </w:numPr>
        <w:jc w:val="both"/>
        <w:rPr>
          <w:sz w:val="24"/>
          <w:szCs w:val="24"/>
        </w:rPr>
      </w:pPr>
      <w:r>
        <w:rPr>
          <w:sz w:val="24"/>
          <w:szCs w:val="24"/>
        </w:rPr>
        <w:t xml:space="preserve">Le </w:t>
      </w:r>
      <w:r w:rsidRPr="003B4FFA">
        <w:rPr>
          <w:sz w:val="24"/>
          <w:szCs w:val="24"/>
        </w:rPr>
        <w:t>Crapaud Calamite</w:t>
      </w:r>
      <w:r>
        <w:rPr>
          <w:sz w:val="24"/>
          <w:szCs w:val="24"/>
        </w:rPr>
        <w:t xml:space="preserve"> qui</w:t>
      </w:r>
      <w:r w:rsidRPr="003B4FFA">
        <w:rPr>
          <w:sz w:val="24"/>
          <w:szCs w:val="24"/>
        </w:rPr>
        <w:t xml:space="preserve"> affectionne les milieux pionniers (</w:t>
      </w:r>
      <w:r>
        <w:rPr>
          <w:sz w:val="24"/>
          <w:szCs w:val="24"/>
        </w:rPr>
        <w:t xml:space="preserve">sur lesquels sont </w:t>
      </w:r>
      <w:r w:rsidRPr="003B4FFA">
        <w:rPr>
          <w:sz w:val="24"/>
          <w:szCs w:val="24"/>
        </w:rPr>
        <w:t>absen</w:t>
      </w:r>
      <w:r>
        <w:rPr>
          <w:sz w:val="24"/>
          <w:szCs w:val="24"/>
        </w:rPr>
        <w:t>ts</w:t>
      </w:r>
      <w:r w:rsidRPr="003B4FFA">
        <w:rPr>
          <w:sz w:val="24"/>
          <w:szCs w:val="24"/>
        </w:rPr>
        <w:t xml:space="preserve"> de</w:t>
      </w:r>
      <w:r>
        <w:rPr>
          <w:sz w:val="24"/>
          <w:szCs w:val="24"/>
        </w:rPr>
        <w:t>s</w:t>
      </w:r>
      <w:r w:rsidRPr="003B4FFA">
        <w:rPr>
          <w:sz w:val="24"/>
          <w:szCs w:val="24"/>
        </w:rPr>
        <w:t xml:space="preserve"> </w:t>
      </w:r>
      <w:r>
        <w:rPr>
          <w:sz w:val="24"/>
          <w:szCs w:val="24"/>
        </w:rPr>
        <w:t xml:space="preserve">espèces </w:t>
      </w:r>
      <w:r w:rsidRPr="003B4FFA">
        <w:rPr>
          <w:sz w:val="24"/>
          <w:szCs w:val="24"/>
        </w:rPr>
        <w:t>concurrent</w:t>
      </w:r>
      <w:r>
        <w:rPr>
          <w:sz w:val="24"/>
          <w:szCs w:val="24"/>
        </w:rPr>
        <w:t>e</w:t>
      </w:r>
      <w:r w:rsidRPr="003B4FFA">
        <w:rPr>
          <w:sz w:val="24"/>
          <w:szCs w:val="24"/>
        </w:rPr>
        <w:t>s) tel que les carrières</w:t>
      </w:r>
      <w:r>
        <w:rPr>
          <w:sz w:val="24"/>
          <w:szCs w:val="24"/>
        </w:rPr>
        <w:t xml:space="preserve"> et qui</w:t>
      </w:r>
      <w:r w:rsidRPr="003B4FFA">
        <w:rPr>
          <w:sz w:val="24"/>
          <w:szCs w:val="24"/>
        </w:rPr>
        <w:t xml:space="preserve"> ne serait pas présent si la carrière n’existait pas.</w:t>
      </w:r>
      <w:r>
        <w:rPr>
          <w:sz w:val="24"/>
          <w:szCs w:val="24"/>
        </w:rPr>
        <w:t xml:space="preserve"> Il fait également l’objet de mesures de préservation.</w:t>
      </w:r>
    </w:p>
    <w:p w14:paraId="446F93C4" w14:textId="77777777" w:rsidR="000978F7" w:rsidRPr="00B45681" w:rsidRDefault="000978F7" w:rsidP="000978F7">
      <w:pPr>
        <w:pStyle w:val="Textebrut"/>
        <w:jc w:val="both"/>
        <w:rPr>
          <w:sz w:val="23"/>
          <w:szCs w:val="23"/>
        </w:rPr>
      </w:pPr>
    </w:p>
    <w:p w14:paraId="0784A00C" w14:textId="77777777" w:rsidR="000978F7" w:rsidRPr="00B45681" w:rsidRDefault="000978F7" w:rsidP="000978F7">
      <w:pPr>
        <w:pStyle w:val="Textebrut"/>
        <w:jc w:val="both"/>
        <w:rPr>
          <w:sz w:val="23"/>
          <w:szCs w:val="23"/>
        </w:rPr>
      </w:pPr>
      <w:r w:rsidRPr="00B45681">
        <w:rPr>
          <w:sz w:val="23"/>
          <w:szCs w:val="23"/>
        </w:rPr>
        <w:t xml:space="preserve">Au vu de ces résultats d’études, le </w:t>
      </w:r>
      <w:r w:rsidRPr="00B45681">
        <w:rPr>
          <w:rFonts w:eastAsia="Times New Roman"/>
          <w:color w:val="000000"/>
          <w:sz w:val="23"/>
          <w:szCs w:val="23"/>
          <w:bdr w:val="none" w:sz="0" w:space="0" w:color="auto" w:frame="1"/>
          <w:lang w:eastAsia="fr-FR"/>
        </w:rPr>
        <w:t xml:space="preserve">CNPN (Conseil National de la Protection de la Nature), référence nationale de la protection des espèces protégées, a, en 2019, donné un avis favorable sans réserve à la poursuite </w:t>
      </w:r>
      <w:r>
        <w:rPr>
          <w:rFonts w:eastAsia="Times New Roman"/>
          <w:color w:val="000000"/>
          <w:sz w:val="23"/>
          <w:szCs w:val="23"/>
          <w:bdr w:val="none" w:sz="0" w:space="0" w:color="auto" w:frame="1"/>
          <w:lang w:eastAsia="fr-FR"/>
        </w:rPr>
        <w:t>de l’activité</w:t>
      </w:r>
      <w:r w:rsidRPr="00B45681">
        <w:rPr>
          <w:rFonts w:eastAsia="Times New Roman"/>
          <w:color w:val="000000"/>
          <w:sz w:val="23"/>
          <w:szCs w:val="23"/>
          <w:bdr w:val="none" w:sz="0" w:space="0" w:color="auto" w:frame="1"/>
          <w:lang w:eastAsia="fr-FR"/>
        </w:rPr>
        <w:t xml:space="preserve"> de la carrière.</w:t>
      </w:r>
      <w:r w:rsidRPr="00B45681">
        <w:rPr>
          <w:sz w:val="23"/>
          <w:szCs w:val="23"/>
        </w:rPr>
        <w:t xml:space="preserve"> Il </w:t>
      </w:r>
      <w:r>
        <w:rPr>
          <w:sz w:val="23"/>
          <w:szCs w:val="23"/>
        </w:rPr>
        <w:t xml:space="preserve">a </w:t>
      </w:r>
      <w:r w:rsidRPr="00B45681">
        <w:rPr>
          <w:sz w:val="23"/>
          <w:szCs w:val="23"/>
        </w:rPr>
        <w:t xml:space="preserve">assorti son avis de 3 conditions </w:t>
      </w:r>
      <w:r>
        <w:rPr>
          <w:sz w:val="23"/>
          <w:szCs w:val="23"/>
        </w:rPr>
        <w:t>de</w:t>
      </w:r>
      <w:r w:rsidRPr="00B45681">
        <w:rPr>
          <w:sz w:val="23"/>
          <w:szCs w:val="23"/>
        </w:rPr>
        <w:t xml:space="preserve"> suivi, toutes 3 acceptées par écrit </w:t>
      </w:r>
      <w:r>
        <w:rPr>
          <w:sz w:val="23"/>
          <w:szCs w:val="23"/>
        </w:rPr>
        <w:t>par l’entreprise</w:t>
      </w:r>
      <w:r w:rsidRPr="00B45681">
        <w:rPr>
          <w:sz w:val="23"/>
          <w:szCs w:val="23"/>
        </w:rPr>
        <w:t xml:space="preserve"> :</w:t>
      </w:r>
    </w:p>
    <w:p w14:paraId="05FC97AC" w14:textId="77777777" w:rsidR="000978F7" w:rsidRDefault="000978F7" w:rsidP="000978F7">
      <w:pPr>
        <w:pStyle w:val="Textebrut"/>
        <w:numPr>
          <w:ilvl w:val="0"/>
          <w:numId w:val="2"/>
        </w:numPr>
        <w:jc w:val="both"/>
        <w:rPr>
          <w:sz w:val="24"/>
          <w:szCs w:val="24"/>
        </w:rPr>
      </w:pPr>
      <w:r w:rsidRPr="00B45681">
        <w:rPr>
          <w:sz w:val="23"/>
          <w:szCs w:val="23"/>
        </w:rPr>
        <w:lastRenderedPageBreak/>
        <w:t>La durée des mesures de gestion et de restauration pour assurer le continuum</w:t>
      </w:r>
      <w:r w:rsidRPr="003B4FFA">
        <w:rPr>
          <w:sz w:val="24"/>
          <w:szCs w:val="24"/>
        </w:rPr>
        <w:t xml:space="preserve"> forestier doit être au moins de 30 ans</w:t>
      </w:r>
      <w:r>
        <w:rPr>
          <w:sz w:val="24"/>
          <w:szCs w:val="24"/>
        </w:rPr>
        <w:t xml:space="preserve">. </w:t>
      </w:r>
    </w:p>
    <w:p w14:paraId="46535483" w14:textId="77777777" w:rsidR="000978F7" w:rsidRPr="00AF6857" w:rsidRDefault="000978F7" w:rsidP="000978F7">
      <w:pPr>
        <w:pStyle w:val="Textebrut"/>
        <w:numPr>
          <w:ilvl w:val="1"/>
          <w:numId w:val="2"/>
        </w:numPr>
        <w:jc w:val="both"/>
        <w:rPr>
          <w:i/>
          <w:iCs/>
          <w:sz w:val="24"/>
          <w:szCs w:val="24"/>
        </w:rPr>
      </w:pPr>
      <w:r w:rsidRPr="00AF6857">
        <w:rPr>
          <w:i/>
          <w:iCs/>
          <w:sz w:val="24"/>
          <w:szCs w:val="24"/>
        </w:rPr>
        <w:t>Cette condition est assurée, via la convention signée par l’entreprise avec l’Office National des Forêts (ONF) prévue sur 30 ans.</w:t>
      </w:r>
    </w:p>
    <w:p w14:paraId="05DDF3D2" w14:textId="77777777" w:rsidR="000978F7" w:rsidRDefault="000978F7" w:rsidP="000978F7">
      <w:pPr>
        <w:numPr>
          <w:ilvl w:val="0"/>
          <w:numId w:val="3"/>
        </w:numPr>
        <w:spacing w:before="120"/>
        <w:ind w:left="714" w:hanging="357"/>
        <w:jc w:val="both"/>
        <w:rPr>
          <w:rFonts w:ascii="Calibri" w:hAnsi="Calibri" w:cs="Calibri"/>
          <w:sz w:val="23"/>
          <w:szCs w:val="23"/>
        </w:rPr>
      </w:pPr>
      <w:r w:rsidRPr="009C75D4">
        <w:rPr>
          <w:rFonts w:ascii="Calibri" w:hAnsi="Calibri" w:cs="Calibri"/>
          <w:sz w:val="23"/>
          <w:szCs w:val="23"/>
        </w:rPr>
        <w:t>La gestion et le suivi des espaces restaurés doivent faire l’objet d’un plan de gestion écologique préalable, dont le gestionnaire devra être identifié et missionné</w:t>
      </w:r>
    </w:p>
    <w:p w14:paraId="2EDF64AE" w14:textId="77777777" w:rsidR="000978F7" w:rsidRPr="00AF6857" w:rsidRDefault="000978F7" w:rsidP="000978F7">
      <w:pPr>
        <w:numPr>
          <w:ilvl w:val="1"/>
          <w:numId w:val="3"/>
        </w:numPr>
        <w:jc w:val="both"/>
        <w:rPr>
          <w:rFonts w:ascii="Calibri" w:hAnsi="Calibri" w:cs="Calibri"/>
          <w:i/>
          <w:iCs/>
          <w:sz w:val="23"/>
          <w:szCs w:val="23"/>
        </w:rPr>
      </w:pPr>
      <w:r w:rsidRPr="00AF6857">
        <w:rPr>
          <w:rFonts w:ascii="Calibri" w:hAnsi="Calibri" w:cs="Calibri"/>
          <w:i/>
          <w:iCs/>
          <w:sz w:val="23"/>
          <w:szCs w:val="23"/>
        </w:rPr>
        <w:t>Cette condition s’est traduite par le Plan de Gestion Ecologique (PGE) rédigé en novembre 2021 par l’ONF, en charge de sa gestion et du suivi annuel des milieux forestiers. A ce titre, la convention entre l’entreprise et l’ONF prévoit pour 6,1 ha défrichés par phase quinquennale sur 30 ans, le reboisement de 8,2 ha par phase quinquennale sur 30 ans.</w:t>
      </w:r>
    </w:p>
    <w:p w14:paraId="4B263330" w14:textId="77777777" w:rsidR="000978F7" w:rsidRDefault="000978F7" w:rsidP="000978F7">
      <w:pPr>
        <w:pStyle w:val="Textebrut"/>
        <w:numPr>
          <w:ilvl w:val="0"/>
          <w:numId w:val="3"/>
        </w:numPr>
        <w:spacing w:before="120"/>
        <w:ind w:left="714" w:hanging="357"/>
        <w:jc w:val="both"/>
        <w:rPr>
          <w:sz w:val="24"/>
          <w:szCs w:val="24"/>
        </w:rPr>
      </w:pPr>
      <w:r w:rsidRPr="003B4FFA">
        <w:rPr>
          <w:sz w:val="24"/>
          <w:szCs w:val="24"/>
        </w:rPr>
        <w:t>Les suivis envisagés devront avoir une durée de 10 à 20</w:t>
      </w:r>
      <w:r>
        <w:rPr>
          <w:sz w:val="24"/>
          <w:szCs w:val="24"/>
        </w:rPr>
        <w:t xml:space="preserve"> </w:t>
      </w:r>
      <w:r w:rsidRPr="003B4FFA">
        <w:rPr>
          <w:sz w:val="24"/>
          <w:szCs w:val="24"/>
        </w:rPr>
        <w:t>ans selon les espèces</w:t>
      </w:r>
    </w:p>
    <w:p w14:paraId="13869953" w14:textId="77777777" w:rsidR="000978F7" w:rsidRPr="00AF6857" w:rsidRDefault="000978F7" w:rsidP="000978F7">
      <w:pPr>
        <w:pStyle w:val="Textebrut"/>
        <w:numPr>
          <w:ilvl w:val="1"/>
          <w:numId w:val="3"/>
        </w:numPr>
        <w:jc w:val="both"/>
        <w:rPr>
          <w:i/>
          <w:iCs/>
          <w:sz w:val="24"/>
          <w:szCs w:val="24"/>
        </w:rPr>
      </w:pPr>
      <w:r w:rsidRPr="00AF6857">
        <w:rPr>
          <w:i/>
          <w:iCs/>
          <w:sz w:val="24"/>
          <w:szCs w:val="24"/>
        </w:rPr>
        <w:t>Cette condition sera réalisée dans le cadre de la mise en œuvre de l’accord contractualisé chaque année avec la LPO de la Loire, et planifié sur la période 2021 à 2051.</w:t>
      </w:r>
    </w:p>
    <w:p w14:paraId="2DB4B34F" w14:textId="77777777" w:rsidR="000978F7" w:rsidRDefault="000978F7" w:rsidP="000978F7">
      <w:pPr>
        <w:jc w:val="both"/>
      </w:pPr>
    </w:p>
    <w:p w14:paraId="084FB359" w14:textId="77777777" w:rsidR="000978F7" w:rsidRDefault="000978F7" w:rsidP="000978F7">
      <w:pPr>
        <w:pStyle w:val="Titre2"/>
        <w:rPr>
          <w:rFonts w:ascii="Calibri" w:hAnsi="Calibri" w:cs="Calibri"/>
          <w:b/>
          <w:bCs/>
        </w:rPr>
      </w:pPr>
      <w:r>
        <w:rPr>
          <w:rFonts w:ascii="Calibri" w:hAnsi="Calibri" w:cs="Calibri"/>
          <w:b/>
          <w:bCs/>
        </w:rPr>
        <w:t>Les mesures déjà mises en œuvre</w:t>
      </w:r>
    </w:p>
    <w:p w14:paraId="74A0020B" w14:textId="77777777" w:rsidR="000978F7" w:rsidRDefault="000978F7" w:rsidP="000978F7">
      <w:pPr>
        <w:jc w:val="both"/>
        <w:rPr>
          <w:rFonts w:ascii="Calibri" w:hAnsi="Calibri" w:cs="Calibri"/>
          <w:sz w:val="23"/>
          <w:szCs w:val="23"/>
        </w:rPr>
      </w:pPr>
      <w:r w:rsidRPr="009C7F62">
        <w:rPr>
          <w:rFonts w:ascii="Calibri" w:hAnsi="Calibri" w:cs="Calibri"/>
          <w:sz w:val="23"/>
          <w:szCs w:val="23"/>
        </w:rPr>
        <w:t xml:space="preserve">Sans </w:t>
      </w:r>
      <w:r>
        <w:rPr>
          <w:rFonts w:ascii="Calibri" w:hAnsi="Calibri" w:cs="Calibri"/>
          <w:sz w:val="23"/>
          <w:szCs w:val="23"/>
        </w:rPr>
        <w:t>attendre, l’entreprise a engagé :</w:t>
      </w:r>
    </w:p>
    <w:p w14:paraId="397B6059" w14:textId="77777777" w:rsidR="000978F7" w:rsidRDefault="000978F7" w:rsidP="000978F7">
      <w:pPr>
        <w:pStyle w:val="Paragraphedeliste"/>
        <w:numPr>
          <w:ilvl w:val="0"/>
          <w:numId w:val="1"/>
        </w:numPr>
      </w:pPr>
      <w:r>
        <w:t>Le r</w:t>
      </w:r>
      <w:r w:rsidRPr="009C7F62">
        <w:t>eboisement</w:t>
      </w:r>
      <w:r>
        <w:t xml:space="preserve">, sous forme de châtaigneraie, </w:t>
      </w:r>
      <w:r w:rsidRPr="009C7F62">
        <w:t xml:space="preserve">sur </w:t>
      </w:r>
      <w:r>
        <w:t xml:space="preserve">la commune de </w:t>
      </w:r>
      <w:r w:rsidRPr="009C7F62">
        <w:t>Colombier en 2020-2021</w:t>
      </w:r>
      <w:r>
        <w:t> ;</w:t>
      </w:r>
    </w:p>
    <w:p w14:paraId="4D2C1604" w14:textId="77777777" w:rsidR="000978F7" w:rsidRDefault="000978F7" w:rsidP="000978F7">
      <w:pPr>
        <w:pStyle w:val="Paragraphedeliste"/>
        <w:numPr>
          <w:ilvl w:val="0"/>
          <w:numId w:val="1"/>
        </w:numPr>
      </w:pPr>
      <w:r>
        <w:t>Des actions de sensibilisation de son personnel aux espèces présentes sur site et aux bonnes pratiques, ainsi qu’une écoute et observation du Grand Duc, organisée par la LPO Loire en décembre 2021 ;</w:t>
      </w:r>
    </w:p>
    <w:p w14:paraId="2F556F92" w14:textId="77777777" w:rsidR="000978F7" w:rsidRPr="009C7F62" w:rsidRDefault="000978F7" w:rsidP="000978F7">
      <w:pPr>
        <w:pStyle w:val="Paragraphedeliste"/>
        <w:numPr>
          <w:ilvl w:val="0"/>
          <w:numId w:val="1"/>
        </w:numPr>
      </w:pPr>
      <w:r>
        <w:t>Début 2022, la création,</w:t>
      </w:r>
      <w:r w:rsidRPr="00BB0796">
        <w:t xml:space="preserve"> </w:t>
      </w:r>
      <w:r>
        <w:t>dans l'emprise du site, d’une mare propice aux amphibiens.</w:t>
      </w:r>
    </w:p>
    <w:p w14:paraId="7BA5FEE4" w14:textId="77777777" w:rsidR="000978F7" w:rsidRPr="0002693C" w:rsidRDefault="000978F7" w:rsidP="000978F7">
      <w:pPr>
        <w:jc w:val="both"/>
      </w:pPr>
    </w:p>
    <w:p w14:paraId="2A305C47" w14:textId="77777777" w:rsidR="000978F7" w:rsidRDefault="000978F7" w:rsidP="000978F7">
      <w:pPr>
        <w:pStyle w:val="Titre2"/>
        <w:rPr>
          <w:rFonts w:ascii="Calibri" w:hAnsi="Calibri" w:cs="Calibri"/>
          <w:b/>
          <w:bCs/>
        </w:rPr>
      </w:pPr>
      <w:r>
        <w:rPr>
          <w:rFonts w:ascii="Calibri" w:hAnsi="Calibri" w:cs="Calibri"/>
          <w:b/>
          <w:bCs/>
        </w:rPr>
        <w:t>Les mesures complémentaires sur lesquelles l’entreprise s’est engagée</w:t>
      </w:r>
    </w:p>
    <w:p w14:paraId="1C50D58E" w14:textId="77777777" w:rsidR="000978F7" w:rsidRPr="00F408F4" w:rsidRDefault="000978F7" w:rsidP="000978F7">
      <w:pPr>
        <w:jc w:val="both"/>
        <w:rPr>
          <w:rFonts w:ascii="Calibri" w:hAnsi="Calibri" w:cs="Calibri"/>
          <w:sz w:val="23"/>
          <w:szCs w:val="23"/>
        </w:rPr>
      </w:pPr>
      <w:proofErr w:type="gramStart"/>
      <w:r w:rsidRPr="0091233C">
        <w:rPr>
          <w:rFonts w:ascii="Calibri" w:hAnsi="Calibri" w:cs="Calibri"/>
          <w:sz w:val="23"/>
          <w:szCs w:val="23"/>
        </w:rPr>
        <w:t>D</w:t>
      </w:r>
      <w:r>
        <w:rPr>
          <w:rFonts w:ascii="Calibri" w:hAnsi="Calibri" w:cs="Calibri"/>
          <w:sz w:val="23"/>
          <w:szCs w:val="23"/>
        </w:rPr>
        <w:t>an</w:t>
      </w:r>
      <w:r w:rsidRPr="0091233C">
        <w:rPr>
          <w:rFonts w:ascii="Calibri" w:hAnsi="Calibri" w:cs="Calibri"/>
          <w:sz w:val="23"/>
          <w:szCs w:val="23"/>
        </w:rPr>
        <w:t xml:space="preserve">s  </w:t>
      </w:r>
      <w:r>
        <w:rPr>
          <w:rFonts w:ascii="Calibri" w:hAnsi="Calibri" w:cs="Calibri"/>
          <w:sz w:val="23"/>
          <w:szCs w:val="23"/>
        </w:rPr>
        <w:t>le</w:t>
      </w:r>
      <w:proofErr w:type="gramEnd"/>
      <w:r>
        <w:rPr>
          <w:rFonts w:ascii="Calibri" w:hAnsi="Calibri" w:cs="Calibri"/>
          <w:sz w:val="23"/>
          <w:szCs w:val="23"/>
        </w:rPr>
        <w:t xml:space="preserve"> cadre de </w:t>
      </w:r>
      <w:r w:rsidRPr="0091233C">
        <w:rPr>
          <w:rFonts w:ascii="Calibri" w:hAnsi="Calibri" w:cs="Calibri"/>
          <w:sz w:val="23"/>
          <w:szCs w:val="23"/>
        </w:rPr>
        <w:t>l</w:t>
      </w:r>
      <w:r>
        <w:rPr>
          <w:rFonts w:ascii="Calibri" w:hAnsi="Calibri" w:cs="Calibri"/>
          <w:sz w:val="23"/>
          <w:szCs w:val="23"/>
        </w:rPr>
        <w:t>a poursuite de l’exploitation</w:t>
      </w:r>
      <w:r w:rsidRPr="0091233C">
        <w:rPr>
          <w:rFonts w:ascii="Calibri" w:hAnsi="Calibri" w:cs="Calibri"/>
          <w:sz w:val="23"/>
          <w:szCs w:val="23"/>
        </w:rPr>
        <w:t xml:space="preserve"> de</w:t>
      </w:r>
      <w:r>
        <w:rPr>
          <w:rFonts w:ascii="Calibri" w:hAnsi="Calibri" w:cs="Calibri"/>
          <w:sz w:val="23"/>
          <w:szCs w:val="23"/>
        </w:rPr>
        <w:t xml:space="preserve"> la carrière l’entreprise a  </w:t>
      </w:r>
      <w:r w:rsidRPr="00F408F4">
        <w:rPr>
          <w:rFonts w:ascii="Calibri" w:hAnsi="Calibri" w:cs="Calibri"/>
          <w:sz w:val="23"/>
          <w:szCs w:val="23"/>
        </w:rPr>
        <w:t>prévu,  avec la LPO :</w:t>
      </w:r>
    </w:p>
    <w:p w14:paraId="641D602E" w14:textId="77777777" w:rsidR="000978F7" w:rsidRDefault="000978F7" w:rsidP="000978F7">
      <w:pPr>
        <w:pStyle w:val="Paragraphedeliste"/>
        <w:numPr>
          <w:ilvl w:val="0"/>
          <w:numId w:val="5"/>
        </w:numPr>
        <w:rPr>
          <w:rFonts w:cs="Calibri"/>
          <w:sz w:val="23"/>
          <w:szCs w:val="23"/>
        </w:rPr>
      </w:pPr>
      <w:r w:rsidRPr="00F408F4">
        <w:rPr>
          <w:rFonts w:cs="Calibri"/>
          <w:sz w:val="23"/>
          <w:szCs w:val="23"/>
        </w:rPr>
        <w:t>La création de mares sur les gradins entre les fronts de taille et près des bassins de décantation ;</w:t>
      </w:r>
    </w:p>
    <w:p w14:paraId="55FFBC5F" w14:textId="77777777" w:rsidR="000978F7" w:rsidRPr="00F408F4" w:rsidRDefault="000978F7" w:rsidP="000978F7">
      <w:pPr>
        <w:pStyle w:val="Paragraphedeliste"/>
        <w:numPr>
          <w:ilvl w:val="0"/>
          <w:numId w:val="1"/>
        </w:numPr>
        <w:rPr>
          <w:rFonts w:cs="Calibri"/>
          <w:color w:val="000000" w:themeColor="text1"/>
          <w:sz w:val="23"/>
          <w:szCs w:val="23"/>
        </w:rPr>
      </w:pPr>
      <w:r w:rsidRPr="00F408F4">
        <w:rPr>
          <w:rFonts w:cs="Calibri"/>
          <w:color w:val="000000" w:themeColor="text1"/>
          <w:sz w:val="23"/>
          <w:szCs w:val="23"/>
        </w:rPr>
        <w:t xml:space="preserve">La réalisation de 4 </w:t>
      </w:r>
      <w:proofErr w:type="spellStart"/>
      <w:r w:rsidRPr="00F408F4">
        <w:rPr>
          <w:rFonts w:cs="Calibri"/>
          <w:color w:val="000000" w:themeColor="text1"/>
          <w:sz w:val="23"/>
          <w:szCs w:val="23"/>
        </w:rPr>
        <w:t>hibernacula</w:t>
      </w:r>
      <w:proofErr w:type="spellEnd"/>
      <w:r w:rsidRPr="00F408F4">
        <w:rPr>
          <w:rFonts w:cs="Calibri"/>
          <w:color w:val="000000" w:themeColor="text1"/>
          <w:sz w:val="23"/>
          <w:szCs w:val="23"/>
        </w:rPr>
        <w:t xml:space="preserve"> (</w:t>
      </w:r>
      <w:r w:rsidRPr="00F408F4">
        <w:rPr>
          <w:rFonts w:cs="Calibri"/>
          <w:color w:val="000000" w:themeColor="text1"/>
          <w:sz w:val="23"/>
          <w:szCs w:val="23"/>
          <w:shd w:val="clear" w:color="auto" w:fill="FFFFFF"/>
        </w:rPr>
        <w:t xml:space="preserve">refuges pour l’hibernation) </w:t>
      </w:r>
      <w:r w:rsidRPr="00F408F4">
        <w:rPr>
          <w:rFonts w:cs="Calibri"/>
          <w:color w:val="000000" w:themeColor="text1"/>
          <w:sz w:val="23"/>
          <w:szCs w:val="23"/>
        </w:rPr>
        <w:t>favorables à l’herpétofaune (amphibiens et reptiles)</w:t>
      </w:r>
      <w:r>
        <w:rPr>
          <w:rFonts w:cs="Calibri"/>
          <w:color w:val="000000" w:themeColor="text1"/>
          <w:sz w:val="23"/>
          <w:szCs w:val="23"/>
        </w:rPr>
        <w:t> ;</w:t>
      </w:r>
    </w:p>
    <w:p w14:paraId="4EEA656C" w14:textId="77777777" w:rsidR="000978F7" w:rsidRDefault="000978F7" w:rsidP="000978F7">
      <w:pPr>
        <w:pStyle w:val="Textebrut"/>
        <w:numPr>
          <w:ilvl w:val="0"/>
          <w:numId w:val="1"/>
        </w:numPr>
        <w:jc w:val="both"/>
        <w:rPr>
          <w:sz w:val="24"/>
          <w:szCs w:val="24"/>
        </w:rPr>
      </w:pPr>
      <w:r>
        <w:rPr>
          <w:sz w:val="24"/>
          <w:szCs w:val="24"/>
        </w:rPr>
        <w:t>La p</w:t>
      </w:r>
      <w:r w:rsidRPr="003B4FFA">
        <w:rPr>
          <w:sz w:val="24"/>
          <w:szCs w:val="24"/>
        </w:rPr>
        <w:t xml:space="preserve">ose de gites </w:t>
      </w:r>
      <w:r>
        <w:rPr>
          <w:sz w:val="24"/>
          <w:szCs w:val="24"/>
        </w:rPr>
        <w:t>pour les</w:t>
      </w:r>
      <w:r w:rsidRPr="003B4FFA">
        <w:rPr>
          <w:sz w:val="24"/>
          <w:szCs w:val="24"/>
        </w:rPr>
        <w:t xml:space="preserve"> chiroptères</w:t>
      </w:r>
      <w:r>
        <w:rPr>
          <w:sz w:val="24"/>
          <w:szCs w:val="24"/>
        </w:rPr>
        <w:t>.</w:t>
      </w:r>
    </w:p>
    <w:p w14:paraId="1141C311" w14:textId="77777777" w:rsidR="000978F7" w:rsidRDefault="000978F7" w:rsidP="000978F7">
      <w:pPr>
        <w:pStyle w:val="Textebrut"/>
        <w:jc w:val="both"/>
        <w:rPr>
          <w:sz w:val="24"/>
          <w:szCs w:val="24"/>
        </w:rPr>
      </w:pPr>
    </w:p>
    <w:p w14:paraId="22E52D0F" w14:textId="77777777" w:rsidR="000978F7" w:rsidRPr="00465F73" w:rsidRDefault="000978F7" w:rsidP="000978F7">
      <w:pPr>
        <w:jc w:val="both"/>
        <w:rPr>
          <w:sz w:val="23"/>
          <w:szCs w:val="23"/>
        </w:rPr>
      </w:pPr>
      <w:r w:rsidRPr="00465F73">
        <w:rPr>
          <w:rFonts w:ascii="Calibri" w:hAnsi="Calibri" w:cs="Calibri"/>
          <w:sz w:val="23"/>
          <w:szCs w:val="23"/>
        </w:rPr>
        <w:t xml:space="preserve">Ces mesures </w:t>
      </w:r>
      <w:r>
        <w:rPr>
          <w:rFonts w:ascii="Calibri" w:hAnsi="Calibri" w:cs="Calibri"/>
          <w:sz w:val="23"/>
          <w:szCs w:val="23"/>
        </w:rPr>
        <w:t>feront l’objet de démarches de suivi de leur efficacité dans la durée, en étroite coopération avec les partenaires concernés.</w:t>
      </w:r>
    </w:p>
    <w:p w14:paraId="491F7E84" w14:textId="77777777" w:rsidR="007C5A44" w:rsidRDefault="007C5A44"/>
    <w:sectPr w:rsidR="007C5A44" w:rsidSect="00D61CA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FE20" w14:textId="77777777" w:rsidR="00FF42B8" w:rsidRDefault="00FF42B8" w:rsidP="000978F7">
      <w:r>
        <w:separator/>
      </w:r>
    </w:p>
  </w:endnote>
  <w:endnote w:type="continuationSeparator" w:id="0">
    <w:p w14:paraId="3C76EF24" w14:textId="77777777" w:rsidR="00FF42B8" w:rsidRDefault="00FF42B8" w:rsidP="000978F7">
      <w:r>
        <w:continuationSeparator/>
      </w:r>
    </w:p>
  </w:endnote>
  <w:endnote w:type="continuationNotice" w:id="1">
    <w:p w14:paraId="4D55358A" w14:textId="77777777" w:rsidR="00AC5315" w:rsidRDefault="00AC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6E79B" w14:textId="77777777" w:rsidR="00FF42B8" w:rsidRDefault="00FF42B8" w:rsidP="000978F7">
      <w:r>
        <w:separator/>
      </w:r>
    </w:p>
  </w:footnote>
  <w:footnote w:type="continuationSeparator" w:id="0">
    <w:p w14:paraId="5FAA6F20" w14:textId="77777777" w:rsidR="00FF42B8" w:rsidRDefault="00FF42B8" w:rsidP="000978F7">
      <w:r>
        <w:continuationSeparator/>
      </w:r>
    </w:p>
  </w:footnote>
  <w:footnote w:type="continuationNotice" w:id="1">
    <w:p w14:paraId="618F50EF" w14:textId="77777777" w:rsidR="00AC5315" w:rsidRDefault="00AC5315"/>
  </w:footnote>
  <w:footnote w:id="2">
    <w:p w14:paraId="4CFE4FAC" w14:textId="77777777" w:rsidR="000978F7" w:rsidRPr="00B81486" w:rsidRDefault="000978F7" w:rsidP="000978F7">
      <w:pPr>
        <w:pStyle w:val="NormalWeb"/>
        <w:shd w:val="clear" w:color="auto" w:fill="FFFFFF"/>
        <w:spacing w:before="120" w:beforeAutospacing="0" w:after="120" w:afterAutospacing="0"/>
        <w:rPr>
          <w:rFonts w:ascii="Arial" w:hAnsi="Arial" w:cs="Arial"/>
          <w:color w:val="202122"/>
          <w:sz w:val="20"/>
          <w:szCs w:val="20"/>
        </w:rPr>
      </w:pPr>
      <w:r w:rsidRPr="00B81486">
        <w:rPr>
          <w:rStyle w:val="Appelnotedebasdep"/>
          <w:sz w:val="20"/>
          <w:szCs w:val="20"/>
        </w:rPr>
        <w:footnoteRef/>
      </w:r>
      <w:r w:rsidRPr="00B81486">
        <w:rPr>
          <w:sz w:val="20"/>
          <w:szCs w:val="20"/>
        </w:rPr>
        <w:t xml:space="preserve"> </w:t>
      </w:r>
      <w:r w:rsidRPr="00B81486">
        <w:rPr>
          <w:rFonts w:ascii="Arial" w:hAnsi="Arial" w:cs="Arial"/>
          <w:color w:val="202122"/>
          <w:sz w:val="20"/>
          <w:szCs w:val="20"/>
        </w:rPr>
        <w:t xml:space="preserve">Les </w:t>
      </w:r>
      <w:r w:rsidRPr="00B81486">
        <w:rPr>
          <w:rFonts w:ascii="Arial" w:hAnsi="Arial" w:cs="Arial"/>
          <w:b/>
          <w:bCs/>
          <w:color w:val="202122"/>
          <w:sz w:val="20"/>
          <w:szCs w:val="20"/>
        </w:rPr>
        <w:t>espèces menacées</w:t>
      </w:r>
      <w:r w:rsidRPr="00B81486">
        <w:rPr>
          <w:rFonts w:ascii="Arial" w:hAnsi="Arial" w:cs="Arial"/>
          <w:color w:val="202122"/>
          <w:sz w:val="20"/>
          <w:szCs w:val="20"/>
        </w:rPr>
        <w:t xml:space="preserve"> sont les espèces susceptibles de disparaitre dans un avenir proche. Plus spécifiquement, il s'agit d'un statut de conservation utilisé par la liste rouge de l’Union Internationale pour la Conservation de la Nature (UICN) pour regrouper les espèces « en danger critique », « en danger » et « vulnérables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92D47"/>
    <w:multiLevelType w:val="hybridMultilevel"/>
    <w:tmpl w:val="8B2C985E"/>
    <w:lvl w:ilvl="0" w:tplc="5894A30C">
      <w:start w:val="1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05584A"/>
    <w:multiLevelType w:val="hybridMultilevel"/>
    <w:tmpl w:val="A45AB780"/>
    <w:lvl w:ilvl="0" w:tplc="F0D0DE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102DC4"/>
    <w:multiLevelType w:val="hybridMultilevel"/>
    <w:tmpl w:val="DCA8C0E0"/>
    <w:lvl w:ilvl="0" w:tplc="5BFC534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BBE2E35"/>
    <w:multiLevelType w:val="hybridMultilevel"/>
    <w:tmpl w:val="C8A87F7E"/>
    <w:lvl w:ilvl="0" w:tplc="1158D49A">
      <w:start w:val="1"/>
      <w:numFmt w:val="bullet"/>
      <w:lvlText w:val="o"/>
      <w:lvlJc w:val="left"/>
      <w:pPr>
        <w:ind w:left="776" w:hanging="360"/>
      </w:pPr>
      <w:rPr>
        <w:rFonts w:ascii="Courier New" w:hAnsi="Courier New"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4" w15:restartNumberingAfterBreak="0">
    <w:nsid w:val="50CB3DFE"/>
    <w:multiLevelType w:val="hybridMultilevel"/>
    <w:tmpl w:val="192628A4"/>
    <w:lvl w:ilvl="0" w:tplc="F0D0DEB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06143CE"/>
    <w:multiLevelType w:val="hybridMultilevel"/>
    <w:tmpl w:val="EEE8B8C8"/>
    <w:lvl w:ilvl="0" w:tplc="F0D0DEB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F7"/>
    <w:rsid w:val="000978F7"/>
    <w:rsid w:val="005B211B"/>
    <w:rsid w:val="007C5A44"/>
    <w:rsid w:val="00827D04"/>
    <w:rsid w:val="00AC5315"/>
    <w:rsid w:val="00D61CAF"/>
    <w:rsid w:val="00FF42B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8D75"/>
  <w15:chartTrackingRefBased/>
  <w15:docId w15:val="{F328BB13-80AD-4B15-A7B7-F5178861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8F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0978F7"/>
    <w:pPr>
      <w:keepNext/>
      <w:keepLines/>
      <w:spacing w:before="240"/>
      <w:jc w:val="both"/>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978F7"/>
    <w:pPr>
      <w:keepNext/>
      <w:keepLines/>
      <w:spacing w:before="40"/>
      <w:jc w:val="both"/>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78F7"/>
    <w:rPr>
      <w:rFonts w:asciiTheme="majorHAnsi" w:eastAsiaTheme="majorEastAsia" w:hAnsiTheme="majorHAnsi" w:cstheme="majorBidi"/>
      <w:color w:val="2F5496" w:themeColor="accent1" w:themeShade="BF"/>
      <w:sz w:val="32"/>
      <w:szCs w:val="32"/>
      <w:lang w:eastAsia="fr-FR"/>
    </w:rPr>
  </w:style>
  <w:style w:type="character" w:customStyle="1" w:styleId="Titre2Car">
    <w:name w:val="Titre 2 Car"/>
    <w:basedOn w:val="Policepardfaut"/>
    <w:link w:val="Titre2"/>
    <w:uiPriority w:val="9"/>
    <w:rsid w:val="000978F7"/>
    <w:rPr>
      <w:rFonts w:asciiTheme="majorHAnsi" w:eastAsiaTheme="majorEastAsia" w:hAnsiTheme="majorHAnsi" w:cstheme="majorBidi"/>
      <w:color w:val="2F5496" w:themeColor="accent1" w:themeShade="BF"/>
      <w:sz w:val="26"/>
      <w:szCs w:val="26"/>
      <w:lang w:eastAsia="fr-FR"/>
    </w:rPr>
  </w:style>
  <w:style w:type="paragraph" w:styleId="Paragraphedeliste">
    <w:name w:val="List Paragraph"/>
    <w:basedOn w:val="Normal"/>
    <w:uiPriority w:val="34"/>
    <w:qFormat/>
    <w:rsid w:val="000978F7"/>
    <w:pPr>
      <w:ind w:left="720"/>
      <w:contextualSpacing/>
      <w:jc w:val="both"/>
    </w:pPr>
    <w:rPr>
      <w:rFonts w:ascii="Calibri" w:hAnsi="Calibri"/>
    </w:rPr>
  </w:style>
  <w:style w:type="paragraph" w:styleId="NormalWeb">
    <w:name w:val="Normal (Web)"/>
    <w:basedOn w:val="Normal"/>
    <w:uiPriority w:val="99"/>
    <w:unhideWhenUsed/>
    <w:rsid w:val="000978F7"/>
    <w:pPr>
      <w:spacing w:before="100" w:beforeAutospacing="1" w:after="100" w:afterAutospacing="1"/>
    </w:pPr>
  </w:style>
  <w:style w:type="paragraph" w:styleId="Textebrut">
    <w:name w:val="Plain Text"/>
    <w:basedOn w:val="Normal"/>
    <w:link w:val="TextebrutCar"/>
    <w:uiPriority w:val="99"/>
    <w:unhideWhenUsed/>
    <w:rsid w:val="000978F7"/>
    <w:rPr>
      <w:rFonts w:ascii="Calibri" w:eastAsiaTheme="minorHAnsi" w:hAnsi="Calibri" w:cs="Calibri"/>
      <w:sz w:val="22"/>
      <w:szCs w:val="22"/>
      <w:lang w:eastAsia="en-US"/>
    </w:rPr>
  </w:style>
  <w:style w:type="character" w:customStyle="1" w:styleId="TextebrutCar">
    <w:name w:val="Texte brut Car"/>
    <w:basedOn w:val="Policepardfaut"/>
    <w:link w:val="Textebrut"/>
    <w:uiPriority w:val="99"/>
    <w:rsid w:val="000978F7"/>
    <w:rPr>
      <w:rFonts w:ascii="Calibri" w:hAnsi="Calibri" w:cs="Calibri"/>
    </w:rPr>
  </w:style>
  <w:style w:type="character" w:styleId="Appelnotedebasdep">
    <w:name w:val="footnote reference"/>
    <w:basedOn w:val="Policepardfaut"/>
    <w:uiPriority w:val="99"/>
    <w:semiHidden/>
    <w:unhideWhenUsed/>
    <w:rsid w:val="000978F7"/>
    <w:rPr>
      <w:vertAlign w:val="superscript"/>
    </w:rPr>
  </w:style>
  <w:style w:type="paragraph" w:styleId="En-tte">
    <w:name w:val="header"/>
    <w:basedOn w:val="Normal"/>
    <w:link w:val="En-tteCar"/>
    <w:uiPriority w:val="99"/>
    <w:semiHidden/>
    <w:unhideWhenUsed/>
    <w:rsid w:val="00AC5315"/>
    <w:pPr>
      <w:tabs>
        <w:tab w:val="center" w:pos="4536"/>
        <w:tab w:val="right" w:pos="9072"/>
      </w:tabs>
    </w:pPr>
  </w:style>
  <w:style w:type="character" w:customStyle="1" w:styleId="En-tteCar">
    <w:name w:val="En-tête Car"/>
    <w:basedOn w:val="Policepardfaut"/>
    <w:link w:val="En-tte"/>
    <w:uiPriority w:val="99"/>
    <w:semiHidden/>
    <w:rsid w:val="00AC531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AC5315"/>
    <w:pPr>
      <w:tabs>
        <w:tab w:val="center" w:pos="4536"/>
        <w:tab w:val="right" w:pos="9072"/>
      </w:tabs>
    </w:pPr>
  </w:style>
  <w:style w:type="character" w:customStyle="1" w:styleId="PieddepageCar">
    <w:name w:val="Pied de page Car"/>
    <w:basedOn w:val="Policepardfaut"/>
    <w:link w:val="Pieddepage"/>
    <w:uiPriority w:val="99"/>
    <w:semiHidden/>
    <w:rsid w:val="00AC5315"/>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94C4BE7881A44AF8FF7A90E1F6AC8" ma:contentTypeVersion="12" ma:contentTypeDescription="Crée un document." ma:contentTypeScope="" ma:versionID="70e30c367bfa2ba60245686de7135fb0">
  <xsd:schema xmlns:xsd="http://www.w3.org/2001/XMLSchema" xmlns:xs="http://www.w3.org/2001/XMLSchema" xmlns:p="http://schemas.microsoft.com/office/2006/metadata/properties" xmlns:ns2="b1c7ff25-2d96-46e1-9673-968046291432" xmlns:ns3="b22bdb30-8f13-40aa-b935-5e413c0a7922" targetNamespace="http://schemas.microsoft.com/office/2006/metadata/properties" ma:root="true" ma:fieldsID="6a6e91ffe329a5f30a901cd4835c5b1e" ns2:_="" ns3:_="">
    <xsd:import namespace="b1c7ff25-2d96-46e1-9673-968046291432"/>
    <xsd:import namespace="b22bdb30-8f13-40aa-b935-5e413c0a79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7ff25-2d96-46e1-9673-968046291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bdb30-8f13-40aa-b935-5e413c0a792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D6F49-FC9F-469D-A6A2-0926BAC6E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7ff25-2d96-46e1-9673-968046291432"/>
    <ds:schemaRef ds:uri="b22bdb30-8f13-40aa-b935-5e413c0a7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78386-B156-48D7-8FC6-CF0FC8F4B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D1D9B3-4C8F-4D84-B298-D1F2D907B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3940</Characters>
  <Application>Microsoft Office Word</Application>
  <DocSecurity>0</DocSecurity>
  <Lines>32</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Boitard</dc:creator>
  <cp:keywords/>
  <dc:description/>
  <cp:lastModifiedBy>Dominique DOREL</cp:lastModifiedBy>
  <cp:revision>3</cp:revision>
  <dcterms:created xsi:type="dcterms:W3CDTF">2022-03-01T04:26:00Z</dcterms:created>
  <dcterms:modified xsi:type="dcterms:W3CDTF">2022-03-02T12:32:00Z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0x01010092694C4BE7881A44AF8FF7A90E1F6AC8</vt:lpwstr>
  </property>
</Properties>
</file>